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3D0AA5" w:rsidRPr="00F1263A" w:rsidRDefault="00CC46C4" w:rsidP="003D0AA5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3D0AA5" w:rsidRPr="00691E5C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3D0AA5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3D0AA5" w:rsidRPr="00691E5C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3D0AA5" w:rsidRPr="00691E5C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3D0AA5" w:rsidRPr="00691E5C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3D0AA5" w:rsidRPr="00691E5C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ღირებულების ჯამი</w:t>
      </w:r>
      <w:r w:rsidR="003D0AA5">
        <w:rPr>
          <w:rFonts w:ascii="Sylfaen" w:hAnsi="Sylfaen" w:cs="Sylfaen"/>
          <w:szCs w:val="21"/>
          <w:shd w:val="clear" w:color="auto" w:fill="FFFFFF"/>
          <w:lang w:val="ka-GE"/>
        </w:rPr>
        <w:t xml:space="preserve">  2022</w:t>
      </w:r>
      <w:r w:rsidR="003D0AA5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150D31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="003D0AA5" w:rsidRPr="00691E5C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</w:t>
      </w:r>
      <w:r w:rsidR="003D0AA5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შეადგენს </w:t>
      </w:r>
      <w:r w:rsidR="003D0AA5">
        <w:rPr>
          <w:rFonts w:ascii="Sylfaen" w:hAnsi="Sylfaen" w:cs="Sylfaen"/>
          <w:szCs w:val="21"/>
          <w:shd w:val="clear" w:color="auto" w:fill="FFFFFF"/>
        </w:rPr>
        <w:t>27</w:t>
      </w:r>
      <w:r w:rsidR="003D0AA5" w:rsidRPr="00F1263A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000C68">
        <w:rPr>
          <w:rFonts w:ascii="Sylfaen" w:hAnsi="Sylfaen" w:cs="Sylfaen"/>
          <w:szCs w:val="21"/>
          <w:shd w:val="clear" w:color="auto" w:fill="FFFFFF"/>
        </w:rPr>
        <w:t>455</w:t>
      </w:r>
      <w:r w:rsidR="003D0AA5" w:rsidRPr="00F1263A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000C68">
        <w:rPr>
          <w:rFonts w:ascii="Sylfaen" w:hAnsi="Sylfaen" w:cs="Sylfaen"/>
          <w:szCs w:val="21"/>
          <w:shd w:val="clear" w:color="auto" w:fill="FFFFFF"/>
        </w:rPr>
        <w:t>1</w:t>
      </w:r>
      <w:r w:rsidR="003D0AA5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:rsidR="0043407E" w:rsidRDefault="003D0AA5" w:rsidP="003D0AA5">
      <w:pPr>
        <w:spacing w:after="0"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ab/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>
        <w:rPr>
          <w:rFonts w:ascii="Sylfaen" w:hAnsi="Sylfaen"/>
          <w:szCs w:val="21"/>
          <w:shd w:val="clear" w:color="auto" w:fill="FFFFFF"/>
        </w:rPr>
        <w:t>2</w:t>
      </w:r>
      <w:r w:rsidR="00150D31">
        <w:rPr>
          <w:rFonts w:ascii="Sylfaen" w:hAnsi="Sylfaen"/>
          <w:szCs w:val="21"/>
          <w:shd w:val="clear" w:color="auto" w:fill="FFFFFF"/>
        </w:rPr>
        <w:t>7</w:t>
      </w:r>
      <w:r>
        <w:rPr>
          <w:rFonts w:ascii="Sylfaen" w:hAnsi="Sylfaen"/>
          <w:szCs w:val="21"/>
          <w:shd w:val="clear" w:color="auto" w:fill="FFFFFF"/>
          <w:lang w:val="ka-GE"/>
        </w:rPr>
        <w:t> </w:t>
      </w:r>
      <w:r w:rsidR="00150D31">
        <w:rPr>
          <w:rFonts w:ascii="Sylfaen" w:hAnsi="Sylfaen"/>
          <w:szCs w:val="21"/>
          <w:shd w:val="clear" w:color="auto" w:fill="FFFFFF"/>
        </w:rPr>
        <w:t>028</w:t>
      </w:r>
      <w:r>
        <w:rPr>
          <w:rFonts w:ascii="Sylfaen" w:hAnsi="Sylfaen"/>
          <w:szCs w:val="21"/>
          <w:shd w:val="clear" w:color="auto" w:fill="FFFFFF"/>
        </w:rPr>
        <w:t>.</w:t>
      </w:r>
      <w:r w:rsidR="00150D31">
        <w:rPr>
          <w:rFonts w:ascii="Sylfaen" w:hAnsi="Sylfaen"/>
          <w:szCs w:val="21"/>
          <w:shd w:val="clear" w:color="auto" w:fill="FFFFFF"/>
        </w:rPr>
        <w:t>1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1263A">
        <w:rPr>
          <w:rFonts w:ascii="Sylfaen" w:hAnsi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>
        <w:rPr>
          <w:rFonts w:ascii="Sylfaen" w:hAnsi="Sylfaen"/>
          <w:szCs w:val="21"/>
          <w:shd w:val="clear" w:color="auto" w:fill="FFFFFF"/>
        </w:rPr>
        <w:t>42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>
        <w:rPr>
          <w:rFonts w:ascii="Sylfaen" w:hAnsi="Sylfaen"/>
          <w:szCs w:val="21"/>
          <w:shd w:val="clear" w:color="auto" w:fill="FFFFFF"/>
        </w:rPr>
        <w:t>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Pr="004A4AF2">
        <w:rPr>
          <w:rFonts w:ascii="Sylfaen" w:hAnsi="Sylfaen"/>
          <w:szCs w:val="21"/>
          <w:shd w:val="clear" w:color="auto" w:fill="FFFFFF"/>
        </w:rPr>
        <w:t>384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>.</w:t>
      </w:r>
      <w:r w:rsidRPr="004A4AF2">
        <w:rPr>
          <w:rFonts w:ascii="Sylfaen" w:hAnsi="Sylfaen"/>
          <w:szCs w:val="21"/>
          <w:shd w:val="clear" w:color="auto" w:fill="FFFFFF"/>
        </w:rPr>
        <w:t>6</w:t>
      </w:r>
      <w:r w:rsidRPr="004A4AF2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00C68">
        <w:rPr>
          <w:rFonts w:ascii="Sylfaen" w:hAnsi="Sylfaen"/>
          <w:szCs w:val="21"/>
          <w:shd w:val="clear" w:color="auto" w:fill="FFFFFF"/>
        </w:rPr>
        <w:t>.</w:t>
      </w:r>
      <w:r w:rsidR="00150D31">
        <w:rPr>
          <w:rFonts w:ascii="Sylfaen" w:hAnsi="Sylfaen"/>
          <w:szCs w:val="21"/>
          <w:shd w:val="clear" w:color="auto" w:fill="FFFFFF"/>
        </w:rPr>
        <w:t xml:space="preserve"> </w:t>
      </w:r>
    </w:p>
    <w:p w:rsidR="00C50CA0" w:rsidRPr="001E1573" w:rsidRDefault="00C50CA0" w:rsidP="0043407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0369D7" w:rsidRDefault="000369D7" w:rsidP="003D0AA5">
      <w:pPr>
        <w:spacing w:line="240" w:lineRule="auto"/>
        <w:ind w:firstLine="720"/>
        <w:jc w:val="center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B73E97" w:rsidRDefault="003D0AA5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Pr="006865FC">
        <w:rPr>
          <w:rFonts w:ascii="Sylfaen" w:hAnsi="Sylfaen"/>
          <w:szCs w:val="21"/>
          <w:shd w:val="clear" w:color="auto" w:fill="FFFFFF"/>
        </w:rPr>
        <w:t>20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D7580">
        <w:rPr>
          <w:rFonts w:ascii="Sylfaen" w:hAnsi="Sylfaen"/>
          <w:szCs w:val="21"/>
          <w:shd w:val="clear" w:color="auto" w:fill="FFFFFF"/>
          <w:lang w:val="ka-GE"/>
        </w:rPr>
        <w:t>149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D7580">
        <w:rPr>
          <w:rFonts w:ascii="Sylfaen" w:hAnsi="Sylfaen"/>
          <w:szCs w:val="21"/>
          <w:shd w:val="clear" w:color="auto" w:fill="FFFFFF"/>
          <w:lang w:val="ka-GE"/>
        </w:rPr>
        <w:t>6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="004A6F11">
        <w:rPr>
          <w:rFonts w:ascii="Sylfaen" w:hAnsi="Sylfaen"/>
          <w:szCs w:val="21"/>
          <w:shd w:val="clear" w:color="auto" w:fill="FFFFFF"/>
        </w:rPr>
        <w:t>7</w:t>
      </w:r>
      <w:r w:rsidR="00000C68">
        <w:rPr>
          <w:rFonts w:ascii="Sylfaen" w:hAnsi="Sylfaen"/>
          <w:szCs w:val="21"/>
          <w:shd w:val="clear" w:color="auto" w:fill="FFFFFF"/>
        </w:rPr>
        <w:t>4</w:t>
      </w:r>
      <w:r w:rsidRPr="001D7580">
        <w:rPr>
          <w:rFonts w:ascii="Sylfaen" w:hAnsi="Sylfaen"/>
          <w:szCs w:val="21"/>
          <w:shd w:val="clear" w:color="auto" w:fill="FFFFFF"/>
        </w:rPr>
        <w:t>%-</w:t>
      </w:r>
      <w:r w:rsidRPr="001D7580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Pr="001D7580">
        <w:rPr>
          <w:rFonts w:ascii="Sylfaen" w:hAnsi="Sylfaen"/>
          <w:szCs w:val="21"/>
          <w:shd w:val="clear" w:color="auto" w:fill="FFFFFF"/>
        </w:rPr>
        <w:t>.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6865FC">
        <w:rPr>
          <w:rFonts w:ascii="Sylfaen" w:hAnsi="Sylfaen"/>
          <w:szCs w:val="21"/>
          <w:shd w:val="clear" w:color="auto" w:fill="FFFFFF"/>
        </w:rPr>
        <w:t xml:space="preserve">.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Pr="006865FC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066CE4">
        <w:rPr>
          <w:rFonts w:ascii="Sylfaen" w:hAnsi="Sylfaen"/>
          <w:szCs w:val="21"/>
          <w:shd w:val="clear" w:color="auto" w:fill="FFFFFF"/>
          <w:lang w:val="ka-GE"/>
        </w:rPr>
        <w:t>20.</w:t>
      </w:r>
      <w:r w:rsidRPr="00066CE4">
        <w:rPr>
          <w:rFonts w:ascii="Sylfaen" w:hAnsi="Sylfaen"/>
          <w:szCs w:val="21"/>
          <w:shd w:val="clear" w:color="auto" w:fill="FFFFFF"/>
        </w:rPr>
        <w:t xml:space="preserve">8 </w:t>
      </w:r>
      <w:proofErr w:type="spellStart"/>
      <w:r w:rsidRPr="00066CE4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Pr="00066CE4">
        <w:rPr>
          <w:rFonts w:ascii="Sylfaen" w:hAnsi="Sylfaen"/>
          <w:szCs w:val="21"/>
          <w:shd w:val="clear" w:color="auto" w:fill="FFFFFF"/>
          <w:lang w:val="ka-GE"/>
        </w:rPr>
        <w:t>, ს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>აშუალო შეწონილი ვადიანობა დაფარვამდე შეადგენს დაახლოებით</w:t>
      </w:r>
      <w:r w:rsidRPr="006865FC">
        <w:rPr>
          <w:rFonts w:ascii="Sylfaen" w:hAnsi="Sylfaen"/>
          <w:szCs w:val="21"/>
          <w:shd w:val="clear" w:color="auto" w:fill="FFFFFF"/>
        </w:rPr>
        <w:t xml:space="preserve"> </w:t>
      </w:r>
      <w:r w:rsidRPr="00066CE4">
        <w:rPr>
          <w:rFonts w:ascii="Sylfaen" w:hAnsi="Sylfaen"/>
          <w:szCs w:val="21"/>
          <w:shd w:val="clear" w:color="auto" w:fill="FFFFFF"/>
        </w:rPr>
        <w:t>9.4</w:t>
      </w:r>
      <w:r w:rsidRPr="00E33EF6">
        <w:rPr>
          <w:rFonts w:ascii="Sylfaen" w:hAnsi="Sylfaen"/>
          <w:szCs w:val="21"/>
          <w:shd w:val="clear" w:color="auto" w:fill="FFFFFF"/>
        </w:rPr>
        <w:t xml:space="preserve"> </w:t>
      </w:r>
      <w:r w:rsidRPr="00E33EF6">
        <w:rPr>
          <w:rFonts w:ascii="Sylfaen" w:hAnsi="Sylfaen"/>
          <w:szCs w:val="21"/>
          <w:shd w:val="clear" w:color="auto" w:fill="FFFFFF"/>
          <w:lang w:val="ka-GE"/>
        </w:rPr>
        <w:t xml:space="preserve"> წელს, ხოლო</w:t>
      </w:r>
      <w:r w:rsidRPr="006865FC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საგარეო ვალის საშუალო შეწონილი საპროცენტო განაკვეთი შეადგენს </w:t>
      </w:r>
      <w:r>
        <w:rPr>
          <w:rFonts w:ascii="Sylfaen" w:hAnsi="Sylfaen" w:cs="Sylfaen"/>
          <w:szCs w:val="21"/>
          <w:shd w:val="clear" w:color="auto" w:fill="FFFFFF"/>
        </w:rPr>
        <w:t>1.</w:t>
      </w:r>
      <w:r w:rsidR="004A6F11">
        <w:rPr>
          <w:rFonts w:ascii="Sylfaen" w:hAnsi="Sylfaen" w:cs="Sylfaen"/>
          <w:szCs w:val="21"/>
          <w:shd w:val="clear" w:color="auto" w:fill="FFFFFF"/>
        </w:rPr>
        <w:t>88</w:t>
      </w:r>
      <w:r w:rsidRPr="006865FC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3D0AA5" w:rsidRPr="00F1263A" w:rsidRDefault="003D0AA5" w:rsidP="003D0AA5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F1263A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52685D" wp14:editId="0A7A7707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1A1B" w:rsidRPr="00A33B48" w:rsidRDefault="00DD1A1B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D1A1B" w:rsidRPr="00A411AE" w:rsidRDefault="00DD1A1B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88</w:t>
                              </w:r>
                              <w:r w:rsidRPr="000A5C1D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DD1A1B" w:rsidRPr="00A411AE" w:rsidRDefault="00DD1A1B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DD1A1B" w:rsidRPr="00DE4001" w:rsidRDefault="00DD1A1B" w:rsidP="003D0AA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.4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52685D" id="Group 6" o:spid="_x0000_s1026" style="position:absolute;left:0;text-align:left;margin-left:311.25pt;margin-top:65.35pt;width:201pt;height:49.35pt;z-index:251667456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D1A1B" w:rsidRPr="00A33B48" w:rsidRDefault="00DD1A1B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D1A1B" w:rsidRPr="00A411AE" w:rsidRDefault="00DD1A1B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88</w:t>
                        </w:r>
                        <w:r w:rsidRPr="000A5C1D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DD1A1B" w:rsidRPr="00A411AE" w:rsidRDefault="00DD1A1B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DD1A1B" w:rsidRPr="00DE4001" w:rsidRDefault="00DD1A1B" w:rsidP="003D0AA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73793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.4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F1263A">
        <w:rPr>
          <w:noProof/>
        </w:rPr>
        <w:drawing>
          <wp:anchor distT="0" distB="0" distL="114300" distR="114300" simplePos="0" relativeHeight="251668480" behindDoc="0" locked="0" layoutInCell="1" allowOverlap="1" wp14:anchorId="173506B6" wp14:editId="4F0E5E58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მთავრობის ვალის სტრუქტურა </w:t>
      </w:r>
      <w:r w:rsidRPr="00F1263A">
        <w:rPr>
          <w:rFonts w:ascii="Sylfaen" w:hAnsi="Sylfaen"/>
          <w:b/>
          <w:szCs w:val="18"/>
          <w:shd w:val="clear" w:color="auto" w:fill="FFFFFF"/>
          <w:lang w:val="ka-GE"/>
        </w:rPr>
        <w:t>202</w:t>
      </w:r>
      <w:r w:rsidRPr="00F1263A">
        <w:rPr>
          <w:rFonts w:ascii="Sylfaen" w:hAnsi="Sylfaen"/>
          <w:b/>
          <w:szCs w:val="18"/>
          <w:shd w:val="clear" w:color="auto" w:fill="FFFFFF"/>
        </w:rPr>
        <w:t>2</w:t>
      </w:r>
      <w:r w:rsidRPr="00F1263A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50D3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ოქტომბრის </w:t>
      </w:r>
      <w:r w:rsidRPr="00F1263A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:rsidR="003D0AA5" w:rsidRPr="00F1263A" w:rsidRDefault="003D0AA5" w:rsidP="003D0AA5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Pr="00F1263A">
        <w:rPr>
          <w:rFonts w:ascii="Sylfaen" w:hAnsi="Sylfaen" w:cs="Sylfaen"/>
          <w:szCs w:val="21"/>
          <w:shd w:val="clear" w:color="auto" w:fill="FFFFFF"/>
        </w:rPr>
        <w:t>2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2 წლის </w:t>
      </w:r>
      <w:r w:rsidR="00150D31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7379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673793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673793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673793">
        <w:rPr>
          <w:rFonts w:ascii="Sylfaen" w:hAnsi="Sylfaen" w:cs="Sylfaen"/>
          <w:szCs w:val="21"/>
          <w:shd w:val="clear" w:color="auto" w:fill="FFFFFF"/>
        </w:rPr>
        <w:t xml:space="preserve"> 53%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Pr="00F1263A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Pr="00F1263A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6F4202" w:rsidRPr="00B73E97" w:rsidRDefault="006F420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5FF81E" wp14:editId="7A230245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13790301" wp14:editId="01F0A99C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3D0AA5" w:rsidRPr="00F1263A" w:rsidRDefault="003D0AA5" w:rsidP="003D0AA5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F1263A">
        <w:rPr>
          <w:rFonts w:ascii="Sylfaen" w:hAnsi="Sylfaen"/>
          <w:b/>
          <w:lang w:val="ka-GE"/>
        </w:rPr>
        <w:t>მთავრობის საგარეო ვალის სტრუქტურა - 20</w:t>
      </w:r>
      <w:r w:rsidRPr="00F1263A">
        <w:rPr>
          <w:rFonts w:ascii="Sylfaen" w:hAnsi="Sylfaen"/>
          <w:b/>
        </w:rPr>
        <w:t>2</w:t>
      </w:r>
      <w:r w:rsidRPr="00F1263A">
        <w:rPr>
          <w:rFonts w:ascii="Sylfaen" w:hAnsi="Sylfaen"/>
          <w:b/>
          <w:lang w:val="ka-GE"/>
        </w:rPr>
        <w:t xml:space="preserve">2 წლის </w:t>
      </w:r>
      <w:r w:rsidR="00150D31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ოქტომბრის </w:t>
      </w:r>
      <w:r w:rsidRPr="00F1263A">
        <w:rPr>
          <w:rFonts w:ascii="Sylfaen" w:hAnsi="Sylfaen"/>
          <w:b/>
          <w:lang w:val="ka-GE"/>
        </w:rPr>
        <w:t>მდგომარეობით</w:t>
      </w:r>
    </w:p>
    <w:p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10055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779"/>
        <w:gridCol w:w="1232"/>
        <w:gridCol w:w="1132"/>
        <w:gridCol w:w="1158"/>
        <w:gridCol w:w="1018"/>
        <w:gridCol w:w="1326"/>
      </w:tblGrid>
      <w:tr w:rsidR="004A6F11" w:rsidTr="00020872">
        <w:trPr>
          <w:trHeight w:hRule="exact" w:val="712"/>
          <w:tblHeader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 w:rsidRPr="00D7544F">
              <w:rPr>
                <w:rFonts w:ascii="Calibri" w:hAnsi="Calibri" w:cs="Calibri"/>
                <w:b/>
                <w:bCs/>
                <w:sz w:val="18"/>
                <w:szCs w:val="14"/>
              </w:rPr>
              <w:t>კრედიტორი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8"/>
                <w:szCs w:val="14"/>
              </w:rPr>
              <w:t xml:space="preserve"> 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კრედიტის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ვალუტა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ნაშთი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ათასი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   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აშშ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დოლარი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ნაშთი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ათასი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 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ლარი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4"/>
              </w:rPr>
            </w:pPr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საპროცენტო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>განაკვეთი</w:t>
            </w:r>
            <w:proofErr w:type="spellEnd"/>
            <w:r w:rsidRPr="00D7544F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 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Cs/>
                <w:sz w:val="12"/>
                <w:szCs w:val="12"/>
              </w:rPr>
            </w:pPr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>საპროცენტო</w:t>
            </w:r>
            <w:proofErr w:type="spellEnd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>განაკვეთი</w:t>
            </w:r>
            <w:proofErr w:type="spellEnd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>მოცემული</w:t>
            </w:r>
            <w:proofErr w:type="spellEnd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>თარიღისათვის</w:t>
            </w:r>
            <w:proofErr w:type="spellEnd"/>
            <w:r w:rsidRPr="00D7544F">
              <w:rPr>
                <w:rFonts w:ascii="Calibri" w:hAnsi="Calibri" w:cs="Calibri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4A6F11" w:rsidRPr="00D7544F" w:rsidRDefault="004A6F11">
            <w:pPr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D7544F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>შეწონილი</w:t>
            </w:r>
            <w:proofErr w:type="spellEnd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>საპროცენტო</w:t>
            </w:r>
            <w:proofErr w:type="spellEnd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proofErr w:type="spellStart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>განაკვეთი</w:t>
            </w:r>
            <w:proofErr w:type="spellEnd"/>
            <w:r w:rsidRPr="00D7544F"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</w:p>
        </w:tc>
      </w:tr>
      <w:tr w:rsidR="004A6F11" w:rsidTr="00020872">
        <w:trPr>
          <w:trHeight w:hRule="exact" w:val="296"/>
        </w:trPr>
        <w:tc>
          <w:tcPr>
            <w:tcW w:w="4189" w:type="dxa"/>
            <w:gridSpan w:val="2"/>
            <w:shd w:val="clear" w:color="000000" w:fill="FFFFFF"/>
            <w:vAlign w:val="center"/>
            <w:hideMark/>
          </w:tcPr>
          <w:p w:rsidR="004A6F11" w:rsidRPr="00F95D4A" w:rsidRDefault="004A6F11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</w:pPr>
            <w:proofErr w:type="spellStart"/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>მთავრობის</w:t>
            </w:r>
            <w:proofErr w:type="spellEnd"/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>საგარეო</w:t>
            </w:r>
            <w:proofErr w:type="spellEnd"/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>ვალი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A6F11" w:rsidRPr="00F95D4A" w:rsidRDefault="004A6F11" w:rsidP="00F95D4A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</w:pPr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 xml:space="preserve">          7,259,040 </w:t>
            </w:r>
          </w:p>
        </w:tc>
        <w:tc>
          <w:tcPr>
            <w:tcW w:w="1132" w:type="dxa"/>
            <w:shd w:val="clear" w:color="000000" w:fill="FFFFFF"/>
            <w:vAlign w:val="center"/>
            <w:hideMark/>
          </w:tcPr>
          <w:p w:rsidR="004A6F11" w:rsidRPr="00F95D4A" w:rsidRDefault="004A6F11" w:rsidP="00F95D4A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</w:pPr>
            <w:r w:rsidRPr="00F95D4A">
              <w:rPr>
                <w:rFonts w:ascii="Calibri" w:hAnsi="Calibri" w:cs="Calibri"/>
                <w:b/>
                <w:bCs/>
                <w:i/>
                <w:iCs/>
                <w:sz w:val="18"/>
                <w:szCs w:val="16"/>
              </w:rPr>
              <w:t xml:space="preserve">     20,149,642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01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4A6F11" w:rsidTr="00020872">
        <w:trPr>
          <w:trHeight w:hRule="exact" w:val="334"/>
        </w:trPr>
        <w:tc>
          <w:tcPr>
            <w:tcW w:w="4189" w:type="dxa"/>
            <w:gridSpan w:val="2"/>
            <w:shd w:val="clear" w:color="000000" w:fill="BFBFB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5,319,529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14,765,950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(WB - IDA)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477,654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1,325,871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204,635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568,027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0.056%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7,626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21,168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რეკონსტრუქციის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და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(WB - IBRD)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89,459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248,319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5,309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14,736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4,413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12,248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6,109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16,958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4.52%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238,785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662,818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1.85%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896,924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2,489,682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Ref.Rate+VS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3.78%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0.467%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სოფლის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მეურნეობის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(IFAD)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15,131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42,002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9,018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25,032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2,783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7,725.69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Ref.Rate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IBRD VS)/2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1.29%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7,260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20,151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504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სავალუტო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(IMF EFF,MOF)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188,644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523,638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3.48%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ევროგაერთიანება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94,428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262,114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9,940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27,591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12,922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35,868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14,910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41,387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459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რეკონსტრუქციის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და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(EBRD)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220,078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610,892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+ 1%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1.88%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0.057%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auto" w:fill="auto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(ADB)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50,534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140,272 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237,231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658,505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21,046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58,420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174,261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483,713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0.048%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91,747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254,670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70,533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195,786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169,795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471,318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0.39%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42,161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117,030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0.64%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568,788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1,578,842 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1.59%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0.125%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388,933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1,079,601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3.44%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0.184%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auto" w:fill="auto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ინფრასტრუქტურის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(AIIB)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52,199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144,895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5.24%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0.038%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44,729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124,159 </w:t>
            </w:r>
          </w:p>
        </w:tc>
        <w:tc>
          <w:tcPr>
            <w:tcW w:w="1158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2.45%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83,968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233,079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1.70%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auto" w:fill="auto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ევროსაბჭოს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(CEB)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7,744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21,495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1.78%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896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2,487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საინვესტიციო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(EIB)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84,489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234,524 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28,329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78,634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44,729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124,159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0.55%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19,880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55,182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0.59%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3,640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10,105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7,886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21,891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19,880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55,182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0.87%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49,699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137,955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0.96%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994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2,759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9,940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27,591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19,623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54,470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19,880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55,182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84,489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234,524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2.04%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6,127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17,009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2.98%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9,940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27,591 </w:t>
            </w: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3.19%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397,462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1,103,274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1.12%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0.062%</w:t>
            </w:r>
          </w:p>
        </w:tc>
      </w:tr>
      <w:tr w:rsidR="004A6F11" w:rsidTr="00020872">
        <w:trPr>
          <w:trHeight w:hRule="exact" w:val="486"/>
        </w:trPr>
        <w:tc>
          <w:tcPr>
            <w:tcW w:w="3410" w:type="dxa"/>
            <w:shd w:val="clear" w:color="auto" w:fill="auto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სკანდინავიური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გარემოსდაცვის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საფინანსო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კორპორაცია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(NEFCO)  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1,951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5,417 </w:t>
            </w:r>
          </w:p>
        </w:tc>
        <w:tc>
          <w:tcPr>
            <w:tcW w:w="1158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2.76%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89"/>
        </w:trPr>
        <w:tc>
          <w:tcPr>
            <w:tcW w:w="3410" w:type="dxa"/>
            <w:shd w:val="clear" w:color="000000" w:fill="BFBFB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ორმხრივი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779" w:type="dxa"/>
            <w:shd w:val="clear" w:color="000000" w:fill="BFBFB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1,438,311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3,992,463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13,820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38,360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3,240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8,994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211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586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6,309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17,512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2,363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6,560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25,436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70,605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2,858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7,934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3,524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9,783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KfW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117,836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327,091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0.56%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86,145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239,122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97,245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269,933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178,917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496,638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24,142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67,013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38,129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105,839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14,845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41,208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7,783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21,604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12,425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34,489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4,520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12,546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18,701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51,910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94,178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261,419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537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1,492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19,086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52,980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9,680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26,869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6,737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18,701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5,142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14,273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34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ნიდერლანდების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66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184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4,739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13,156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2,293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6,365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4,594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12,753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779" w:type="dxa"/>
            <w:vMerge w:val="restart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12,857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35,687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188,857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524,229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149,098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413,865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16,199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44,966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4,523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12,556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4,744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13,168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29,820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82,773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154,067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427,660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1.37%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59,639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165,546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2.46%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4A6F11" w:rsidTr="00020872">
        <w:trPr>
          <w:trHeight w:hRule="exact" w:val="202"/>
        </w:trPr>
        <w:tc>
          <w:tcPr>
            <w:tcW w:w="3410" w:type="dxa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13,004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36,097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+ FS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2.91%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A6F11" w:rsidTr="00020872">
        <w:trPr>
          <w:trHeight w:hRule="exact" w:val="262"/>
        </w:trPr>
        <w:tc>
          <w:tcPr>
            <w:tcW w:w="3410" w:type="dxa"/>
            <w:shd w:val="clear" w:color="000000" w:fill="BFBFB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ფასიანი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779" w:type="dxa"/>
            <w:shd w:val="clear" w:color="000000" w:fill="BFBFB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500,000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1,387,900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A6F11" w:rsidTr="00020872">
        <w:trPr>
          <w:trHeight w:hRule="exact" w:val="271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500,000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1,387,900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0.189%</w:t>
            </w:r>
          </w:p>
        </w:tc>
      </w:tr>
      <w:tr w:rsidR="004A6F11" w:rsidTr="00020872">
        <w:trPr>
          <w:trHeight w:hRule="exact" w:val="271"/>
        </w:trPr>
        <w:tc>
          <w:tcPr>
            <w:tcW w:w="3410" w:type="dxa"/>
            <w:shd w:val="clear" w:color="000000" w:fill="BFBFB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779" w:type="dxa"/>
            <w:shd w:val="clear" w:color="000000" w:fill="BFBFB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1,199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3,329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000000" w:fill="BFBFB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4A6F11" w:rsidTr="00020872">
        <w:trPr>
          <w:trHeight w:hRule="exact" w:val="271"/>
        </w:trPr>
        <w:tc>
          <w:tcPr>
            <w:tcW w:w="3410" w:type="dxa"/>
            <w:shd w:val="clear" w:color="000000" w:fill="FFFFFF"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779" w:type="dxa"/>
            <w:shd w:val="clear" w:color="000000" w:fill="FFFFFF"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1,199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 w:rsidP="00F95D4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3,329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1326" w:type="dxa"/>
            <w:shd w:val="clear" w:color="000000" w:fill="FFFFFF"/>
            <w:noWrap/>
            <w:vAlign w:val="center"/>
            <w:hideMark/>
          </w:tcPr>
          <w:p w:rsidR="004A6F11" w:rsidRDefault="004A6F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A6F11" w:rsidTr="00020872">
        <w:trPr>
          <w:trHeight w:hRule="exact" w:val="531"/>
        </w:trPr>
        <w:tc>
          <w:tcPr>
            <w:tcW w:w="4189" w:type="dxa"/>
            <w:gridSpan w:val="2"/>
            <w:shd w:val="clear" w:color="000000" w:fill="FFFFFF"/>
            <w:noWrap/>
            <w:vAlign w:val="center"/>
            <w:hideMark/>
          </w:tcPr>
          <w:p w:rsidR="004A6F11" w:rsidRDefault="004A6F1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shd w:val="clear" w:color="000000" w:fill="F2F2F2"/>
            <w:noWrap/>
            <w:vAlign w:val="center"/>
            <w:hideMark/>
          </w:tcPr>
          <w:p w:rsidR="004A6F11" w:rsidRPr="004A6F11" w:rsidRDefault="004A6F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>საშუალო</w:t>
            </w:r>
            <w:proofErr w:type="spellEnd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>შეწონილი</w:t>
            </w:r>
            <w:proofErr w:type="spellEnd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>საპროცენტო</w:t>
            </w:r>
            <w:proofErr w:type="spellEnd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326" w:type="dxa"/>
            <w:shd w:val="clear" w:color="000000" w:fill="F2F2F2"/>
            <w:noWrap/>
            <w:vAlign w:val="center"/>
            <w:hideMark/>
          </w:tcPr>
          <w:p w:rsidR="004A6F11" w:rsidRPr="004A6F11" w:rsidRDefault="004A6F1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6F11">
              <w:rPr>
                <w:rFonts w:ascii="Calibri" w:hAnsi="Calibri" w:cs="Calibri"/>
                <w:b/>
                <w:bCs/>
                <w:sz w:val="18"/>
                <w:szCs w:val="18"/>
              </w:rPr>
              <w:t>1.88%</w:t>
            </w:r>
          </w:p>
        </w:tc>
      </w:tr>
    </w:tbl>
    <w:p w:rsidR="002E358C" w:rsidRPr="00B73E97" w:rsidRDefault="002E358C" w:rsidP="004A6F1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405DB" w:rsidRDefault="000A05E4" w:rsidP="004F1B2F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4F1B2F">
        <w:rPr>
          <w:color w:val="auto"/>
          <w:sz w:val="22"/>
          <w:szCs w:val="21"/>
          <w:shd w:val="clear" w:color="auto" w:fill="FFFFFF"/>
          <w:lang w:val="ka-GE"/>
        </w:rPr>
        <w:t>3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</w:t>
      </w:r>
      <w:r w:rsidR="00046206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5708BF">
        <w:rPr>
          <w:color w:val="auto"/>
          <w:sz w:val="22"/>
          <w:szCs w:val="21"/>
          <w:lang w:val="ka-GE"/>
        </w:rPr>
        <w:t xml:space="preserve">საინვესტიციო კრედიტების </w:t>
      </w:r>
      <w:r w:rsidRPr="00987794">
        <w:rPr>
          <w:color w:val="auto"/>
          <w:sz w:val="22"/>
          <w:szCs w:val="21"/>
          <w:lang w:val="ka-GE"/>
        </w:rPr>
        <w:t xml:space="preserve">ათვისებას </w:t>
      </w:r>
      <w:r w:rsidR="00C70518" w:rsidRPr="00640321">
        <w:rPr>
          <w:color w:val="auto"/>
          <w:sz w:val="22"/>
          <w:szCs w:val="21"/>
          <w:lang w:val="ka-GE"/>
        </w:rPr>
        <w:t xml:space="preserve">1 </w:t>
      </w:r>
      <w:r w:rsidR="00640321" w:rsidRPr="00640321">
        <w:rPr>
          <w:color w:val="auto"/>
          <w:sz w:val="22"/>
          <w:szCs w:val="21"/>
          <w:lang w:val="ka-GE"/>
        </w:rPr>
        <w:t>844</w:t>
      </w:r>
      <w:r w:rsidR="004F1B2F" w:rsidRPr="00640321">
        <w:rPr>
          <w:color w:val="auto"/>
          <w:sz w:val="22"/>
          <w:szCs w:val="21"/>
          <w:lang w:val="ka-GE"/>
        </w:rPr>
        <w:t xml:space="preserve"> </w:t>
      </w:r>
      <w:r w:rsidR="00640321" w:rsidRPr="00640321">
        <w:rPr>
          <w:color w:val="auto"/>
          <w:sz w:val="22"/>
          <w:szCs w:val="21"/>
          <w:lang w:val="ka-GE"/>
        </w:rPr>
        <w:t>320</w:t>
      </w:r>
      <w:r w:rsidR="00C70518" w:rsidRPr="00640321">
        <w:rPr>
          <w:color w:val="auto"/>
          <w:sz w:val="22"/>
          <w:szCs w:val="21"/>
          <w:lang w:val="ka-GE"/>
        </w:rPr>
        <w:t>.0</w:t>
      </w:r>
      <w:r w:rsidRPr="00640321">
        <w:rPr>
          <w:color w:val="auto"/>
          <w:sz w:val="22"/>
          <w:szCs w:val="21"/>
          <w:lang w:val="ka-GE"/>
        </w:rPr>
        <w:t xml:space="preserve"> ათასი</w:t>
      </w:r>
      <w:r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ოდენობით. </w:t>
      </w:r>
      <w:r w:rsidR="002A0BB1"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ასევე, </w:t>
      </w:r>
      <w:r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640321" w:rsidRPr="00640321">
        <w:rPr>
          <w:color w:val="auto"/>
          <w:sz w:val="22"/>
          <w:szCs w:val="21"/>
          <w:shd w:val="clear" w:color="auto" w:fill="FFFFFF"/>
          <w:lang w:val="ka-GE"/>
        </w:rPr>
        <w:t>4</w:t>
      </w:r>
      <w:r w:rsidR="00C70518" w:rsidRPr="00640321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="002A0BB1"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640321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="002A0BB1" w:rsidRPr="00640321">
        <w:rPr>
          <w:color w:val="auto"/>
          <w:sz w:val="22"/>
          <w:szCs w:val="21"/>
          <w:shd w:val="clear" w:color="auto" w:fill="FFFFFF"/>
          <w:lang w:val="ka-GE"/>
        </w:rPr>
        <w:t>ლარის მობილიზებას</w:t>
      </w:r>
      <w:r w:rsidR="00A405DB" w:rsidRPr="00640321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:rsidR="00A06F40" w:rsidRPr="00527AC4" w:rsidRDefault="00A06F40" w:rsidP="004F1B2F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</w:p>
    <w:p w:rsidR="00423D2D" w:rsidRPr="002D05B1" w:rsidRDefault="00423D2D" w:rsidP="00423D2D">
      <w:pPr>
        <w:pStyle w:val="Normal22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F54C2E">
        <w:rPr>
          <w:rFonts w:ascii="Sylfaen" w:eastAsia="Sylfaen" w:hAnsi="Sylfaen" w:cs="Sylfaen"/>
          <w:sz w:val="20"/>
          <w:szCs w:val="20"/>
          <w:lang w:val="ka-GE"/>
        </w:rPr>
        <w:t xml:space="preserve">განვითარების პოლიტიკის ღონისძიება-2022 პროგრამის (DPO-2022)  ფარგლებში მსოფლიო ბანკიდან (WB) მისაღები სახსრები - </w:t>
      </w:r>
      <w:r w:rsidRPr="002D05B1">
        <w:rPr>
          <w:rFonts w:ascii="Sylfaen" w:eastAsia="Sylfaen" w:hAnsi="Sylfaen" w:cs="Sylfaen"/>
          <w:sz w:val="20"/>
          <w:szCs w:val="20"/>
          <w:lang w:val="ka-GE"/>
        </w:rPr>
        <w:t>1</w:t>
      </w:r>
      <w:r w:rsidRPr="002D05B1">
        <w:rPr>
          <w:rFonts w:ascii="Sylfaen" w:eastAsia="Sylfaen" w:hAnsi="Sylfaen" w:cs="Sylfaen"/>
          <w:sz w:val="20"/>
          <w:szCs w:val="20"/>
        </w:rPr>
        <w:t xml:space="preserve">10 </w:t>
      </w:r>
      <w:r w:rsidRPr="002D05B1">
        <w:rPr>
          <w:rFonts w:ascii="Sylfaen" w:eastAsia="Sylfaen" w:hAnsi="Sylfaen" w:cs="Sylfaen"/>
          <w:sz w:val="20"/>
          <w:szCs w:val="20"/>
          <w:lang w:val="ka-GE"/>
        </w:rPr>
        <w:t>000.00  ათასი ლარის ოდენობით;</w:t>
      </w:r>
    </w:p>
    <w:p w:rsidR="00423D2D" w:rsidRPr="002D05B1" w:rsidRDefault="00423D2D" w:rsidP="00423D2D">
      <w:pPr>
        <w:pStyle w:val="Normal22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>ენერგეტიკის სექტორის რეფორმის პროგრამის (AFD)-6-ის  ფარგლებში საფრანგეთის განვითარების სააგენტოდან (AFD) მისაღები სახსრები –     11</w:t>
      </w:r>
      <w:r w:rsidRPr="002D05B1">
        <w:rPr>
          <w:rFonts w:ascii="Sylfaen" w:eastAsia="Sylfaen" w:hAnsi="Sylfaen" w:cs="Sylfaen"/>
          <w:sz w:val="20"/>
          <w:szCs w:val="20"/>
        </w:rPr>
        <w:t>0</w:t>
      </w:r>
      <w:r w:rsidRPr="002D05B1">
        <w:rPr>
          <w:rFonts w:ascii="Sylfaen" w:eastAsia="Sylfaen" w:hAnsi="Sylfaen" w:cs="Sylfaen"/>
          <w:sz w:val="20"/>
          <w:szCs w:val="20"/>
          <w:lang w:val="ka-GE"/>
        </w:rPr>
        <w:t xml:space="preserve">  000.00  ათასი ლარის ოდენობით;   </w:t>
      </w:r>
    </w:p>
    <w:p w:rsidR="00423D2D" w:rsidRPr="002D05B1" w:rsidRDefault="00423D2D" w:rsidP="00423D2D">
      <w:pPr>
        <w:pStyle w:val="Normal22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>რკინიგზის სექტორის რეფორმის პროგრამის ფარგლებში აზიის განვითარების ბანკიდან (ADB) მისაღები სახსრები -    7</w:t>
      </w:r>
      <w:r w:rsidRPr="002D05B1">
        <w:rPr>
          <w:rFonts w:ascii="Sylfaen" w:eastAsia="Sylfaen" w:hAnsi="Sylfaen" w:cs="Sylfaen"/>
          <w:sz w:val="20"/>
          <w:szCs w:val="20"/>
        </w:rPr>
        <w:t>0</w:t>
      </w:r>
      <w:r w:rsidRPr="002D05B1">
        <w:rPr>
          <w:rFonts w:ascii="Sylfaen" w:eastAsia="Sylfaen" w:hAnsi="Sylfaen" w:cs="Sylfaen"/>
          <w:sz w:val="20"/>
          <w:szCs w:val="20"/>
          <w:lang w:val="ka-GE"/>
        </w:rPr>
        <w:t xml:space="preserve"> 000.00  ათასი ლარის ოდენობით;</w:t>
      </w:r>
    </w:p>
    <w:p w:rsidR="00423D2D" w:rsidRPr="002D05B1" w:rsidRDefault="00423D2D" w:rsidP="00423D2D">
      <w:pPr>
        <w:pStyle w:val="Normal22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>საქართველოს ადამიანური კაპიტალის პროგრამის ფარგლებში მსოფლიო ბანკიდან (WB) მისაღები სახსრები - 28 000.00  ათასი ლარის ოდენობით;</w:t>
      </w:r>
    </w:p>
    <w:p w:rsidR="00423D2D" w:rsidRPr="002D05B1" w:rsidRDefault="00423D2D" w:rsidP="00423D2D">
      <w:pPr>
        <w:pStyle w:val="Normal22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>ირიგაციის სექტორის კლიმატზე მორგებული განვითარების პროგრამის  ფარგლებში  მისაღები სახსრები:</w:t>
      </w:r>
    </w:p>
    <w:p w:rsidR="00423D2D" w:rsidRPr="002D05B1" w:rsidRDefault="00423D2D" w:rsidP="00423D2D">
      <w:pPr>
        <w:pStyle w:val="Normal22"/>
        <w:spacing w:after="0" w:line="240" w:lineRule="auto"/>
        <w:ind w:firstLine="709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 xml:space="preserve"> –     საფრანგეთის განვითარების სააგენტოდან (AFD)  -  41  000.00  ათასი ლარის ოდენობით;   </w:t>
      </w:r>
    </w:p>
    <w:p w:rsidR="005708BF" w:rsidRDefault="00423D2D" w:rsidP="00423D2D">
      <w:pPr>
        <w:pStyle w:val="Normal22"/>
        <w:spacing w:after="0" w:line="240" w:lineRule="auto"/>
        <w:ind w:firstLine="709"/>
        <w:jc w:val="both"/>
        <w:rPr>
          <w:rFonts w:ascii="Sylfaen" w:eastAsia="Sylfaen" w:hAnsi="Sylfaen" w:cs="Sylfaen"/>
          <w:sz w:val="20"/>
          <w:szCs w:val="20"/>
          <w:lang w:val="ka-GE"/>
        </w:rPr>
      </w:pPr>
      <w:r w:rsidRPr="002D05B1">
        <w:rPr>
          <w:rFonts w:ascii="Sylfaen" w:eastAsia="Sylfaen" w:hAnsi="Sylfaen" w:cs="Sylfaen"/>
          <w:sz w:val="20"/>
          <w:szCs w:val="20"/>
          <w:lang w:val="ka-GE"/>
        </w:rPr>
        <w:t xml:space="preserve">–     აზიის განვითარების ბანკიდან (ADB)  -   41  000.00  ათასი ლარის ოდენობით;  </w:t>
      </w:r>
    </w:p>
    <w:p w:rsidR="00423D2D" w:rsidRPr="005708BF" w:rsidRDefault="00423D2D" w:rsidP="00423D2D">
      <w:pPr>
        <w:pStyle w:val="Normal22"/>
        <w:spacing w:after="0" w:line="240" w:lineRule="auto"/>
        <w:ind w:firstLine="709"/>
        <w:jc w:val="both"/>
        <w:rPr>
          <w:rFonts w:ascii="Sylfaen" w:eastAsia="Sylfaen" w:hAnsi="Sylfaen" w:cs="Sylfaen"/>
          <w:color w:val="000000"/>
          <w:lang w:val="ka-GE"/>
        </w:rPr>
      </w:pPr>
    </w:p>
    <w:p w:rsidR="00C0485E" w:rsidRPr="005708BF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</w:t>
      </w:r>
      <w:r w:rsidR="00EF07D7">
        <w:rPr>
          <w:rFonts w:ascii="Sylfaen" w:hAnsi="Sylfaen" w:cs="Sylfaen"/>
          <w:szCs w:val="21"/>
          <w:shd w:val="clear" w:color="auto" w:fill="FFFFFF"/>
          <w:lang w:val="ka-GE"/>
        </w:rPr>
        <w:t xml:space="preserve">ში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B09B8">
        <w:rPr>
          <w:rFonts w:ascii="Sylfaen" w:hAnsi="Sylfaen" w:cs="Sylfaen"/>
          <w:szCs w:val="21"/>
          <w:shd w:val="clear" w:color="auto" w:fill="FFFFFF"/>
        </w:rPr>
        <w:t>696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708B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5708BF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1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170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="00C70518"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71CA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F95D4A">
        <w:rPr>
          <w:rFonts w:ascii="Sylfaen" w:hAnsi="Sylfaen" w:cs="Sylfaen"/>
          <w:szCs w:val="21"/>
          <w:shd w:val="clear" w:color="auto" w:fill="FFFFFF"/>
          <w:lang w:val="ka-GE"/>
        </w:rPr>
        <w:t>26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5708B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5708BF">
        <w:rPr>
          <w:rFonts w:ascii="Sylfaen" w:hAnsi="Sylfaen"/>
          <w:b/>
          <w:sz w:val="20"/>
          <w:szCs w:val="20"/>
          <w:lang w:val="ka-GE"/>
        </w:rPr>
        <w:t>202</w:t>
      </w:r>
      <w:r w:rsidR="00430129">
        <w:rPr>
          <w:rFonts w:ascii="Sylfaen" w:hAnsi="Sylfaen"/>
          <w:b/>
          <w:sz w:val="20"/>
          <w:szCs w:val="20"/>
        </w:rPr>
        <w:t>3</w:t>
      </w:r>
      <w:r w:rsidR="006D20E2" w:rsidRPr="005708BF">
        <w:rPr>
          <w:rFonts w:ascii="Sylfaen" w:hAnsi="Sylfaen"/>
          <w:b/>
          <w:sz w:val="20"/>
          <w:szCs w:val="20"/>
        </w:rPr>
        <w:t xml:space="preserve"> </w:t>
      </w:r>
      <w:r w:rsidRPr="005708B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Pr="009F773E" w:rsidRDefault="00FB01F8" w:rsidP="009F773E">
      <w:pPr>
        <w:tabs>
          <w:tab w:val="left" w:pos="0"/>
        </w:tabs>
        <w:spacing w:after="0" w:line="240" w:lineRule="auto"/>
        <w:ind w:right="414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9F773E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977"/>
        <w:gridCol w:w="1984"/>
        <w:gridCol w:w="2268"/>
        <w:gridCol w:w="2126"/>
      </w:tblGrid>
      <w:tr w:rsidR="009F773E" w:rsidRPr="001B09B8" w:rsidTr="005B44A4">
        <w:trPr>
          <w:trHeight w:hRule="exact" w:val="540"/>
          <w:jc w:val="center"/>
        </w:trPr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B09B8" w:rsidRPr="001B09B8" w:rsidRDefault="001B09B8" w:rsidP="005B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B09B8" w:rsidRPr="001B09B8" w:rsidRDefault="001B09B8" w:rsidP="005B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ვალების</w:t>
            </w:r>
            <w:proofErr w:type="spellEnd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22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B09B8" w:rsidRPr="001B09B8" w:rsidRDefault="001B09B8" w:rsidP="005B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21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B09B8" w:rsidRPr="001B09B8" w:rsidRDefault="001B09B8" w:rsidP="005B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  <w:t>სულ</w:t>
            </w:r>
            <w:proofErr w:type="spellEnd"/>
            <w:r w:rsidRPr="001B09B8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</w:rPr>
            </w:pPr>
            <w:r w:rsidRPr="001B09B8">
              <w:rPr>
                <w:rFonts w:ascii="Calibri" w:eastAsia="Times New Roman" w:hAnsi="Calibri" w:cs="Calibri"/>
                <w:b/>
                <w:bCs/>
                <w:i/>
                <w:sz w:val="20"/>
              </w:rPr>
              <w:t xml:space="preserve">              1,170,000.0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</w:rPr>
            </w:pPr>
            <w:r w:rsidRPr="001B09B8">
              <w:rPr>
                <w:rFonts w:ascii="Calibri" w:eastAsia="Times New Roman" w:hAnsi="Calibri" w:cs="Calibri"/>
                <w:b/>
                <w:bCs/>
                <w:i/>
                <w:sz w:val="20"/>
              </w:rPr>
              <w:t xml:space="preserve">                 526,000.0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sz w:val="20"/>
              </w:rPr>
            </w:pPr>
            <w:r w:rsidRPr="001B09B8">
              <w:rPr>
                <w:rFonts w:ascii="Calibri" w:eastAsia="Times New Roman" w:hAnsi="Calibri" w:cs="Calibri"/>
                <w:b/>
                <w:bCs/>
                <w:i/>
                <w:sz w:val="20"/>
              </w:rPr>
              <w:t xml:space="preserve">        1,696,000.0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5,160.0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410.0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5,570.0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3,810.0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1,540.0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5,350.0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22,490.0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3,450.0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25,940.0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203,420.0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28,490.0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231,910.0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6,990.0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720.0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7,710.0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2,720.0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250.0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2,970.0 </w:t>
            </w:r>
          </w:p>
        </w:tc>
      </w:tr>
      <w:tr w:rsidR="009F773E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3,090.0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270.0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3,360.0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2,250.0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200.0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2,450.0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3,360.0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400.0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3,760.0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63.0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10.0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73.0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32,082.0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4,050.0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36,132.0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6,010.0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580.0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6,590.0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24,030.0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34,610.0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58,640.0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12,000.0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12,000.0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329,955.0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23,260.0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353,215.0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IBRD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62,810.0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173,080.0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235,890.0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7,280.0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1,790.0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9,070.0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EBRD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87,690.0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23,050.0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110,740.0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38,020.0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49,590.0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87,610.0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320,230.0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92,360.0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412,590.0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20,240.0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20,240.0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1,640.0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1,640.0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600.0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600.0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7,650.0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11,840.0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19,490.0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NEFCO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890.0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320.0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1,210.0 </w:t>
            </w:r>
          </w:p>
        </w:tc>
      </w:tr>
      <w:tr w:rsidR="001B09B8" w:rsidRPr="001B09B8" w:rsidTr="009F773E">
        <w:trPr>
          <w:trHeight w:hRule="exact" w:val="284"/>
          <w:jc w:val="center"/>
        </w:trPr>
        <w:tc>
          <w:tcPr>
            <w:tcW w:w="29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41,250.0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B09B8" w:rsidRPr="001B09B8" w:rsidRDefault="001B09B8" w:rsidP="001B09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09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41,250.0 </w:t>
            </w:r>
          </w:p>
        </w:tc>
      </w:tr>
    </w:tbl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0A1240" w:rsidRPr="000A1240" w:rsidRDefault="003C2FBC" w:rsidP="00946DCB">
      <w:pPr>
        <w:spacing w:line="240" w:lineRule="auto"/>
        <w:ind w:firstLine="720"/>
        <w:jc w:val="center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</w:p>
    <w:p w:rsidR="00946DCB" w:rsidRPr="00C81637" w:rsidRDefault="00E2344B" w:rsidP="00946DCB">
      <w:pPr>
        <w:tabs>
          <w:tab w:val="left" w:pos="720"/>
        </w:tabs>
        <w:spacing w:after="0" w:line="240" w:lineRule="auto"/>
        <w:ind w:firstLine="142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870E6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0E6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5B44A4">
        <w:rPr>
          <w:rFonts w:ascii="Sylfaen" w:hAnsi="Sylfaen" w:cs="Sylfaen"/>
          <w:szCs w:val="21"/>
          <w:shd w:val="clear" w:color="auto" w:fill="FFFFFF"/>
        </w:rPr>
        <w:t>10</w:t>
      </w:r>
      <w:r w:rsidR="00946DC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 xml:space="preserve">თვის განმავლობაში </w:t>
      </w:r>
      <w:r w:rsidR="00946DCB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946DCB" w:rsidRPr="00F1263A">
        <w:rPr>
          <w:rFonts w:ascii="Sylfaen" w:hAnsi="Sylfaen" w:cs="Sylfaen"/>
          <w:szCs w:val="21"/>
          <w:shd w:val="clear" w:color="auto" w:fill="FFFFFF"/>
        </w:rPr>
        <w:t>6</w:t>
      </w:r>
      <w:r w:rsidR="00946DCB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946DCB" w:rsidRPr="00F1263A">
        <w:rPr>
          <w:rFonts w:ascii="Sylfaen" w:hAnsi="Sylfaen" w:cs="Sylfaen"/>
          <w:szCs w:val="21"/>
          <w:shd w:val="clear" w:color="auto" w:fill="FFFFFF"/>
        </w:rPr>
        <w:t>202</w:t>
      </w:r>
      <w:r w:rsidR="00946DCB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2 წლის </w:t>
      </w:r>
      <w:r w:rsidR="00150D31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="00946DCB" w:rsidRPr="00F1263A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>6 თვიანზე 10.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1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>%, 12 თვიანზე 9.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7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>%, 2 წლიანზე - 9.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4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>%, 5 წლიანზე - 9.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2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9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81637" w:rsidRPr="00C81637">
        <w:rPr>
          <w:rFonts w:ascii="Sylfaen" w:hAnsi="Sylfaen" w:cs="Sylfaen"/>
          <w:szCs w:val="21"/>
          <w:shd w:val="clear" w:color="auto" w:fill="FFFFFF"/>
        </w:rPr>
        <w:t>3</w:t>
      </w:r>
      <w:r w:rsidR="00946DCB" w:rsidRPr="00C81637">
        <w:rPr>
          <w:rFonts w:ascii="Sylfaen" w:hAnsi="Sylfaen" w:cs="Sylfaen"/>
          <w:szCs w:val="21"/>
          <w:shd w:val="clear" w:color="auto" w:fill="FFFFFF"/>
        </w:rPr>
        <w:t>%</w:t>
      </w:r>
      <w:r w:rsidR="00946DCB" w:rsidRPr="00C81637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D63FD8" w:rsidRDefault="00946DCB" w:rsidP="00946DCB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>
        <w:rPr>
          <w:rFonts w:ascii="Sylfaen" w:hAnsi="Sylfaen" w:cs="Sylfaen"/>
          <w:shd w:val="clear" w:color="auto" w:fill="FFFFFF"/>
          <w:lang w:val="ka-GE"/>
        </w:rPr>
        <w:tab/>
      </w:r>
      <w:r w:rsidRPr="00F1263A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Pr="00F1263A">
        <w:rPr>
          <w:rFonts w:ascii="Sylfaen" w:hAnsi="Sylfaen" w:cs="Sylfaen"/>
          <w:shd w:val="clear" w:color="auto" w:fill="FFFFFF"/>
        </w:rPr>
        <w:t>2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50D31">
        <w:rPr>
          <w:rFonts w:ascii="Sylfaen" w:hAnsi="Sylfaen" w:cs="Sylfaen"/>
          <w:szCs w:val="21"/>
          <w:shd w:val="clear" w:color="auto" w:fill="FFFFFF"/>
          <w:lang w:val="ka-GE"/>
        </w:rPr>
        <w:t xml:space="preserve">31 ოქტომბრის </w:t>
      </w:r>
      <w:r w:rsidRPr="00F1263A">
        <w:rPr>
          <w:rFonts w:ascii="Sylfaen" w:hAnsi="Sylfaen" w:cs="Sylfaen"/>
          <w:shd w:val="clear" w:color="auto" w:fill="FFFFFF"/>
          <w:lang w:val="ka-GE"/>
        </w:rPr>
        <w:t>მდგომარეობით შეადგინა 6 </w:t>
      </w:r>
      <w:r w:rsidR="004B6F90">
        <w:rPr>
          <w:rFonts w:ascii="Sylfaen" w:hAnsi="Sylfaen" w:cs="Sylfaen"/>
          <w:shd w:val="clear" w:color="auto" w:fill="FFFFFF"/>
        </w:rPr>
        <w:t>920</w:t>
      </w:r>
      <w:r w:rsidRPr="00F1263A">
        <w:rPr>
          <w:rFonts w:ascii="Sylfaen" w:hAnsi="Sylfaen" w:cs="Sylfaen"/>
          <w:shd w:val="clear" w:color="auto" w:fill="FFFFFF"/>
          <w:lang w:val="ka-GE"/>
        </w:rPr>
        <w:t>.</w:t>
      </w:r>
      <w:r w:rsidR="004B6F90">
        <w:rPr>
          <w:rFonts w:ascii="Sylfaen" w:hAnsi="Sylfaen" w:cs="Sylfaen"/>
          <w:shd w:val="clear" w:color="auto" w:fill="FFFFFF"/>
        </w:rPr>
        <w:t>9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</w:t>
      </w:r>
      <w:r w:rsidRPr="00BD426A">
        <w:rPr>
          <w:rFonts w:ascii="Sylfaen" w:hAnsi="Sylfaen" w:cs="Sylfaen"/>
          <w:shd w:val="clear" w:color="auto" w:fill="FFFFFF"/>
          <w:lang w:val="ka-GE"/>
        </w:rPr>
        <w:t xml:space="preserve">ნომინალებში </w:t>
      </w:r>
      <w:r w:rsidRPr="00BD426A">
        <w:rPr>
          <w:rFonts w:ascii="Sylfaen" w:hAnsi="Sylfaen" w:cs="Sylfaen"/>
          <w:lang w:val="ka-GE"/>
        </w:rPr>
        <w:t>- 6 </w:t>
      </w:r>
      <w:r w:rsidR="00BD426A" w:rsidRPr="00BD426A">
        <w:rPr>
          <w:rFonts w:ascii="Sylfaen" w:hAnsi="Sylfaen" w:cs="Sylfaen"/>
          <w:lang w:val="ka-GE"/>
        </w:rPr>
        <w:t>873</w:t>
      </w:r>
      <w:r w:rsidRPr="00BD426A">
        <w:rPr>
          <w:rFonts w:ascii="Sylfaen" w:hAnsi="Sylfaen" w:cs="Sylfaen"/>
          <w:lang w:val="ka-GE"/>
        </w:rPr>
        <w:t>.</w:t>
      </w:r>
      <w:r w:rsidR="00BD426A" w:rsidRPr="00BD426A">
        <w:rPr>
          <w:rFonts w:ascii="Sylfaen" w:hAnsi="Sylfaen" w:cs="Sylfaen"/>
          <w:lang w:val="ka-GE"/>
        </w:rPr>
        <w:t>3</w:t>
      </w:r>
      <w:r w:rsidRPr="00F1263A">
        <w:rPr>
          <w:rFonts w:ascii="Sylfaen" w:hAnsi="Sylfaen" w:cs="Sylfaen"/>
          <w:lang w:val="ka-GE"/>
        </w:rPr>
        <w:t xml:space="preserve"> მლნ ლარი და </w:t>
      </w:r>
      <w:r w:rsidRPr="00F1263A">
        <w:rPr>
          <w:rFonts w:ascii="Sylfaen" w:hAnsi="Sylfaen"/>
          <w:szCs w:val="21"/>
          <w:lang w:val="ka-GE"/>
        </w:rPr>
        <w:t>საბიუჯეტო ორგანიზაციების სესხის სახით არსებულ</w:t>
      </w:r>
      <w:r w:rsidR="004B6F90">
        <w:rPr>
          <w:rFonts w:ascii="Sylfaen" w:hAnsi="Sylfaen"/>
          <w:szCs w:val="21"/>
          <w:lang w:val="ka-GE"/>
        </w:rPr>
        <w:t>ი</w:t>
      </w:r>
      <w:r w:rsidRPr="00F1263A">
        <w:rPr>
          <w:rFonts w:ascii="Sylfaen" w:hAnsi="Sylfaen"/>
          <w:szCs w:val="21"/>
          <w:lang w:val="ka-GE"/>
        </w:rPr>
        <w:t xml:space="preserve"> ნაშთი - 4</w:t>
      </w:r>
      <w:r>
        <w:rPr>
          <w:rFonts w:ascii="Sylfaen" w:hAnsi="Sylfaen"/>
          <w:szCs w:val="21"/>
          <w:lang w:val="ka-GE"/>
        </w:rPr>
        <w:t>2</w:t>
      </w:r>
      <w:r w:rsidRPr="00F1263A">
        <w:rPr>
          <w:rFonts w:ascii="Sylfaen" w:hAnsi="Sylfaen"/>
          <w:szCs w:val="21"/>
          <w:lang w:val="ka-GE"/>
        </w:rPr>
        <w:t>.</w:t>
      </w:r>
      <w:r>
        <w:rPr>
          <w:rFonts w:ascii="Sylfaen" w:hAnsi="Sylfaen"/>
          <w:szCs w:val="21"/>
          <w:lang w:val="ka-GE"/>
        </w:rPr>
        <w:t>4</w:t>
      </w:r>
      <w:r w:rsidRPr="00F1263A">
        <w:rPr>
          <w:rFonts w:ascii="Sylfaen" w:hAnsi="Sylfaen"/>
          <w:szCs w:val="21"/>
          <w:lang w:val="ka-GE"/>
        </w:rPr>
        <w:t xml:space="preserve"> მლნ ლარი</w:t>
      </w:r>
      <w:r w:rsidRPr="00F1263A">
        <w:rPr>
          <w:rFonts w:ascii="Sylfaen" w:hAnsi="Sylfaen" w:cs="Sylfaen"/>
          <w:lang w:val="ka-GE"/>
        </w:rPr>
        <w:t>), აქედან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shd w:val="clear" w:color="auto" w:fill="FFFFFF"/>
          <w:lang w:val="ka-GE"/>
        </w:rPr>
        <w:t>6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BD426A">
        <w:rPr>
          <w:rFonts w:ascii="Sylfaen" w:hAnsi="Sylfaen" w:cs="Sylfaen"/>
          <w:shd w:val="clear" w:color="auto" w:fill="FFFFFF"/>
          <w:lang w:val="ka-GE"/>
        </w:rPr>
        <w:t>878</w:t>
      </w:r>
      <w:r w:rsidRPr="00F1263A">
        <w:rPr>
          <w:rFonts w:ascii="Sylfaen" w:hAnsi="Sylfaen" w:cs="Sylfaen"/>
          <w:shd w:val="clear" w:color="auto" w:fill="FFFFFF"/>
          <w:lang w:val="ka-GE"/>
        </w:rPr>
        <w:t>.</w:t>
      </w:r>
      <w:r w:rsidR="00BD426A">
        <w:rPr>
          <w:rFonts w:ascii="Sylfaen" w:hAnsi="Sylfaen" w:cs="Sylfaen"/>
          <w:shd w:val="clear" w:color="auto" w:fill="FFFFFF"/>
          <w:lang w:val="ka-GE"/>
        </w:rPr>
        <w:t>4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>
        <w:rPr>
          <w:rFonts w:ascii="Sylfaen" w:hAnsi="Sylfaen" w:cs="Sylfaen"/>
          <w:shd w:val="clear" w:color="auto" w:fill="FFFFFF"/>
          <w:lang w:val="ka-GE"/>
        </w:rPr>
        <w:t>28</w:t>
      </w:r>
      <w:r w:rsidRPr="00F1263A">
        <w:rPr>
          <w:rFonts w:ascii="Sylfaen" w:hAnsi="Sylfaen" w:cs="Sylfaen"/>
          <w:shd w:val="clear" w:color="auto" w:fill="FFFFFF"/>
          <w:lang w:val="ka-GE"/>
        </w:rPr>
        <w:t xml:space="preserve">0.8 მლნ ლარი - „ობლიგაცია სებ-სთვის და ღია ბაზრის ოპერაციებისათვის“ ნაწილში და 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ნაშთი - 4</w:t>
      </w:r>
      <w:r>
        <w:rPr>
          <w:rFonts w:ascii="Sylfaen" w:hAnsi="Sylfaen"/>
          <w:szCs w:val="21"/>
          <w:shd w:val="clear" w:color="auto" w:fill="FFFFFF"/>
          <w:lang w:val="ka-GE"/>
        </w:rPr>
        <w:t>2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4</w:t>
      </w:r>
      <w:r w:rsidRPr="00F1263A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020872" w:rsidRDefault="00020872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020872" w:rsidRDefault="00020872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020872" w:rsidRDefault="00020872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020872" w:rsidRPr="000F487B" w:rsidRDefault="00020872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946DCB" w:rsidRPr="00F1263A" w:rsidRDefault="00946DCB" w:rsidP="00946DCB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2022 წლის </w:t>
      </w:r>
      <w:r w:rsidR="00150D31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31 ოქტომბრის </w:t>
      </w:r>
      <w:r w:rsidRPr="00F1263A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D426A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BD426A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BD426A" w:rsidRPr="0040412C" w:rsidTr="004A6F11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BD426A" w:rsidRPr="0040412C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:rsidR="00BD426A" w:rsidRPr="00823046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915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754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3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40412C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592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502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თვის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ვადიანობის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2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95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1 38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3 401 934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BD426A" w:rsidRPr="0040412C" w:rsidTr="004A6F11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1 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395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568,0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40412C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280</w:t>
            </w: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2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0 846,0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BD426A" w:rsidRPr="0040412C" w:rsidRDefault="00BD426A" w:rsidP="004A6F11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:rsidR="00BD426A" w:rsidRPr="0040412C" w:rsidRDefault="00BD426A" w:rsidP="004A6F11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1</w:t>
            </w: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BD426A" w:rsidRPr="0040412C" w:rsidTr="004A6F11">
        <w:trPr>
          <w:trHeight w:val="288"/>
          <w:jc w:val="center"/>
        </w:trPr>
        <w:tc>
          <w:tcPr>
            <w:tcW w:w="3734" w:type="pct"/>
            <w:vAlign w:val="center"/>
          </w:tcPr>
          <w:p w:rsidR="00BD426A" w:rsidRPr="0040412C" w:rsidRDefault="00BD426A" w:rsidP="004A6F11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:rsidR="00BD426A" w:rsidRPr="00823046" w:rsidRDefault="00BD426A" w:rsidP="004A6F11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42 406.3</w:t>
            </w:r>
          </w:p>
        </w:tc>
      </w:tr>
    </w:tbl>
    <w:p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="00823046">
        <w:rPr>
          <w:rFonts w:ascii="Sylfaen" w:hAnsi="Sylfaen"/>
        </w:rPr>
        <w:t>3</w:t>
      </w:r>
      <w:r w:rsidRPr="00D521CF">
        <w:rPr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</w:t>
      </w:r>
      <w:proofErr w:type="spellEnd"/>
      <w:r w:rsidR="00EF07D7">
        <w:rPr>
          <w:rFonts w:ascii="Sylfaen" w:hAnsi="Sylfaen" w:cs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ვალდებულებებისა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და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ობლიგაციების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გამოშვებ</w:t>
      </w:r>
      <w:proofErr w:type="spellEnd"/>
      <w:r w:rsidR="00E60B55" w:rsidRPr="00D521CF">
        <w:rPr>
          <w:rFonts w:ascii="Sylfaen" w:hAnsi="Sylfaen"/>
          <w:lang w:val="ka-GE"/>
        </w:rPr>
        <w:t xml:space="preserve">იდან მიღებულ საპროგნოზო </w:t>
      </w:r>
      <w:r w:rsidR="00E60B55" w:rsidRPr="00A06F40">
        <w:rPr>
          <w:rFonts w:ascii="Sylfaen" w:hAnsi="Sylfaen"/>
          <w:lang w:val="ka-GE"/>
        </w:rPr>
        <w:t>თანხას</w:t>
      </w:r>
      <w:r w:rsidR="00823046" w:rsidRPr="00A06F40">
        <w:rPr>
          <w:rFonts w:ascii="Sylfaen" w:hAnsi="Sylfaen"/>
          <w:lang w:val="ka-GE"/>
        </w:rPr>
        <w:t xml:space="preserve"> </w:t>
      </w:r>
      <w:r w:rsidR="00B13D24" w:rsidRPr="00A06F40">
        <w:rPr>
          <w:rFonts w:ascii="Sylfaen" w:hAnsi="Sylfaen"/>
        </w:rPr>
        <w:t>3</w:t>
      </w:r>
      <w:r w:rsidR="00823046" w:rsidRPr="00A06F40">
        <w:rPr>
          <w:rFonts w:ascii="Sylfaen" w:hAnsi="Sylfaen"/>
          <w:lang w:val="ka-GE"/>
        </w:rPr>
        <w:t xml:space="preserve"> </w:t>
      </w:r>
      <w:r w:rsidR="008B6238">
        <w:rPr>
          <w:rFonts w:ascii="Sylfaen" w:hAnsi="Sylfaen"/>
          <w:lang w:val="ka-GE"/>
        </w:rPr>
        <w:t>1</w:t>
      </w:r>
      <w:r w:rsidR="00D521CF" w:rsidRPr="00A06F40">
        <w:rPr>
          <w:rFonts w:ascii="Sylfaen" w:hAnsi="Sylfaen"/>
          <w:lang w:val="ka-GE"/>
        </w:rPr>
        <w:t>0</w:t>
      </w:r>
      <w:r w:rsidR="00103D04" w:rsidRPr="00A06F40">
        <w:rPr>
          <w:rFonts w:ascii="Sylfaen" w:hAnsi="Sylfaen"/>
          <w:lang w:val="ka-GE"/>
        </w:rPr>
        <w:t>0 000.0 ათასი ლარის ოდენობით</w:t>
      </w:r>
      <w:r w:rsidR="00D63FD8" w:rsidRPr="00A06F40">
        <w:rPr>
          <w:rFonts w:ascii="Sylfaen" w:hAnsi="Sylfaen"/>
          <w:lang w:val="ka-GE"/>
        </w:rPr>
        <w:t xml:space="preserve"> და</w:t>
      </w:r>
      <w:r w:rsidR="00103D04" w:rsidRPr="00A06F40">
        <w:rPr>
          <w:rFonts w:ascii="Sylfaen" w:hAnsi="Sylfaen"/>
          <w:lang w:val="ka-GE"/>
        </w:rPr>
        <w:t xml:space="preserve"> </w:t>
      </w:r>
      <w:proofErr w:type="spellStart"/>
      <w:r w:rsidRPr="00A06F40">
        <w:rPr>
          <w:rFonts w:ascii="Sylfaen" w:hAnsi="Sylfaen" w:cs="Sylfaen"/>
        </w:rPr>
        <w:t>საშინაო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ვალდებულებების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მოსალოდნელ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კლებას</w:t>
      </w:r>
      <w:proofErr w:type="spellEnd"/>
      <w:r w:rsidRPr="00A06F40">
        <w:rPr>
          <w:rFonts w:ascii="Sylfaen" w:hAnsi="Sylfaen"/>
        </w:rPr>
        <w:t xml:space="preserve"> </w:t>
      </w:r>
      <w:r w:rsidRPr="00A06F40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</w:rPr>
        <w:t xml:space="preserve"> </w:t>
      </w:r>
      <w:r w:rsidR="00B13D24" w:rsidRPr="00A06F40">
        <w:rPr>
          <w:rFonts w:ascii="Sylfaen" w:hAnsi="Sylfaen"/>
        </w:rPr>
        <w:t>7</w:t>
      </w:r>
      <w:r w:rsidR="00D521CF" w:rsidRPr="00A06F40">
        <w:rPr>
          <w:rFonts w:ascii="Sylfaen" w:hAnsi="Sylfaen"/>
          <w:lang w:val="ka-GE"/>
        </w:rPr>
        <w:t>0</w:t>
      </w:r>
      <w:r w:rsidR="008170FC" w:rsidRPr="00A06F40">
        <w:rPr>
          <w:rFonts w:ascii="Sylfaen" w:hAnsi="Sylfaen"/>
        </w:rPr>
        <w:t>0</w:t>
      </w:r>
      <w:r w:rsidR="008170FC" w:rsidRPr="00A06F40">
        <w:rPr>
          <w:rFonts w:ascii="Sylfaen" w:hAnsi="Sylfaen"/>
          <w:lang w:val="ka-GE"/>
        </w:rPr>
        <w:t xml:space="preserve"> </w:t>
      </w:r>
      <w:r w:rsidRPr="00A06F40">
        <w:rPr>
          <w:rFonts w:ascii="Sylfaen" w:hAnsi="Sylfaen"/>
          <w:lang w:val="ka-GE"/>
        </w:rPr>
        <w:t>000</w:t>
      </w:r>
      <w:r w:rsidRPr="00A06F40">
        <w:rPr>
          <w:rFonts w:ascii="Sylfaen" w:hAnsi="Sylfaen"/>
        </w:rPr>
        <w:t xml:space="preserve">.0 </w:t>
      </w:r>
      <w:proofErr w:type="spellStart"/>
      <w:r w:rsidRPr="00A06F40">
        <w:rPr>
          <w:rFonts w:ascii="Sylfaen" w:hAnsi="Sylfaen" w:cs="Sylfaen"/>
        </w:rPr>
        <w:t>ათასი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ლარის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ოდენობით</w:t>
      </w:r>
      <w:proofErr w:type="spellEnd"/>
      <w:r w:rsidR="008170FC" w:rsidRPr="00A06F40">
        <w:rPr>
          <w:rFonts w:ascii="Sylfaen" w:hAnsi="Sylfaen"/>
          <w:lang w:val="ka-GE"/>
        </w:rPr>
        <w:t>. შესაბამისად</w:t>
      </w:r>
      <w:r w:rsidR="00823046" w:rsidRPr="00A06F40">
        <w:rPr>
          <w:rFonts w:ascii="Sylfaen" w:hAnsi="Sylfaen"/>
          <w:lang w:val="ka-GE"/>
        </w:rPr>
        <w:t>, 2023</w:t>
      </w:r>
      <w:r w:rsidR="008170FC" w:rsidRPr="00A06F40">
        <w:rPr>
          <w:rFonts w:ascii="Sylfaen" w:hAnsi="Sylfaen"/>
          <w:lang w:val="ka-GE"/>
        </w:rPr>
        <w:t xml:space="preserve"> წლის ბოლოს მდგო</w:t>
      </w:r>
      <w:r w:rsidR="00D63FD8" w:rsidRPr="00A06F40">
        <w:rPr>
          <w:rFonts w:ascii="Sylfaen" w:hAnsi="Sylfaen"/>
          <w:lang w:val="ka-GE"/>
        </w:rPr>
        <w:t>მ</w:t>
      </w:r>
      <w:r w:rsidR="008170FC" w:rsidRPr="00A06F40">
        <w:rPr>
          <w:rFonts w:ascii="Sylfaen" w:hAnsi="Sylfaen"/>
          <w:lang w:val="ka-GE"/>
        </w:rPr>
        <w:t xml:space="preserve">არეობით საშინაო ვალდებულებების წმინდა ზრდის საპროგნოზო მაჩვენებელი შეადგენს 1 </w:t>
      </w:r>
      <w:r w:rsidR="008B6238">
        <w:rPr>
          <w:rFonts w:ascii="Sylfaen" w:hAnsi="Sylfaen"/>
          <w:lang w:val="ka-GE"/>
        </w:rPr>
        <w:t>4</w:t>
      </w:r>
      <w:r w:rsidR="008170FC" w:rsidRPr="00A06F40">
        <w:rPr>
          <w:rFonts w:ascii="Sylfaen" w:hAnsi="Sylfaen"/>
          <w:lang w:val="ka-GE"/>
        </w:rPr>
        <w:t>00 000.0 ათას ლარს</w:t>
      </w:r>
      <w:r w:rsidR="00823046" w:rsidRPr="00A06F40">
        <w:rPr>
          <w:rFonts w:ascii="Sylfaen" w:hAnsi="Sylfaen"/>
          <w:lang w:val="ka-GE"/>
        </w:rPr>
        <w:t xml:space="preserve"> (</w:t>
      </w:r>
      <w:r w:rsidR="00C65638" w:rsidRPr="00A06F40">
        <w:rPr>
          <w:rFonts w:ascii="Sylfaen" w:hAnsi="Sylfaen"/>
        </w:rPr>
        <w:t>3</w:t>
      </w:r>
      <w:r w:rsidR="00C65638" w:rsidRPr="00A06F40">
        <w:rPr>
          <w:rFonts w:ascii="Sylfaen" w:hAnsi="Sylfaen"/>
          <w:lang w:val="ka-GE"/>
        </w:rPr>
        <w:t xml:space="preserve"> </w:t>
      </w:r>
      <w:r w:rsidR="008B6238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  <w:lang w:val="ka-GE"/>
        </w:rPr>
        <w:t xml:space="preserve">00 000.0 </w:t>
      </w:r>
      <w:r w:rsidR="008170FC" w:rsidRPr="00A06F40">
        <w:rPr>
          <w:rFonts w:ascii="Sylfaen" w:hAnsi="Sylfaen"/>
          <w:lang w:val="ka-GE"/>
        </w:rPr>
        <w:t xml:space="preserve">– </w:t>
      </w:r>
      <w:r w:rsidR="00C65638" w:rsidRPr="00A06F40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</w:rPr>
        <w:t xml:space="preserve"> 7</w:t>
      </w:r>
      <w:r w:rsidR="00C65638" w:rsidRPr="00A06F40">
        <w:rPr>
          <w:rFonts w:ascii="Sylfaen" w:hAnsi="Sylfaen"/>
          <w:lang w:val="ka-GE"/>
        </w:rPr>
        <w:t>0</w:t>
      </w:r>
      <w:r w:rsidR="00C65638" w:rsidRPr="00A06F40">
        <w:rPr>
          <w:rFonts w:ascii="Sylfaen" w:hAnsi="Sylfaen"/>
        </w:rPr>
        <w:t>0</w:t>
      </w:r>
      <w:r w:rsidR="00C65638" w:rsidRPr="00A06F40">
        <w:rPr>
          <w:rFonts w:ascii="Sylfaen" w:hAnsi="Sylfaen"/>
          <w:lang w:val="ka-GE"/>
        </w:rPr>
        <w:t xml:space="preserve"> 000</w:t>
      </w:r>
      <w:r w:rsidR="00C65638" w:rsidRPr="00A06F40">
        <w:rPr>
          <w:rFonts w:ascii="Sylfaen" w:hAnsi="Sylfaen"/>
        </w:rPr>
        <w:t>.0</w:t>
      </w:r>
      <w:r w:rsidR="00D63FD8" w:rsidRPr="00A06F40">
        <w:rPr>
          <w:rFonts w:ascii="Sylfaen" w:hAnsi="Sylfaen"/>
          <w:lang w:val="ka-GE"/>
        </w:rPr>
        <w:t>).</w:t>
      </w:r>
    </w:p>
    <w:p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>202</w:t>
      </w:r>
      <w:r w:rsidR="00987794">
        <w:rPr>
          <w:rFonts w:ascii="Sylfaen" w:hAnsi="Sylfaen"/>
          <w:lang w:val="ka-GE"/>
        </w:rPr>
        <w:t>3</w:t>
      </w:r>
      <w:r w:rsidRPr="00D63FD8">
        <w:rPr>
          <w:rFonts w:ascii="Sylfaen" w:hAnsi="Sylfaen"/>
          <w:lang w:val="ka-GE"/>
        </w:rPr>
        <w:t xml:space="preserve">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</w:t>
      </w:r>
      <w:proofErr w:type="spellEnd"/>
      <w:r w:rsidR="00EF07D7">
        <w:rPr>
          <w:rFonts w:ascii="Sylfaen" w:hAnsi="Sylfaen" w:cs="Sylfaen"/>
          <w:lang w:val="ka-GE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B404A9" w:rsidRPr="00D63FD8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მთავრობის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ეროვნული</w:t>
      </w:r>
      <w:proofErr w:type="spellEnd"/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დაფარვის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ღონისძიებების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შესახებ</w:t>
      </w:r>
      <w:proofErr w:type="spellEnd"/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შეთანხმებაში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ცვლილებების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შეტანის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თაობაზე</w:t>
      </w:r>
      <w:proofErr w:type="spellEnd"/>
      <w:r w:rsidR="00B404A9" w:rsidRPr="008739E5">
        <w:t xml:space="preserve">“ </w:t>
      </w:r>
      <w:proofErr w:type="spellStart"/>
      <w:r w:rsidR="00B404A9" w:rsidRPr="008739E5">
        <w:rPr>
          <w:rFonts w:ascii="Sylfaen" w:hAnsi="Sylfaen" w:cs="Sylfaen"/>
        </w:rPr>
        <w:t>შეთანხმების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შესაბამისად</w:t>
      </w:r>
      <w:proofErr w:type="spellEnd"/>
      <w:r w:rsidR="00B404A9" w:rsidRPr="008739E5">
        <w:t xml:space="preserve">. </w:t>
      </w:r>
    </w:p>
    <w:p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="0098779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="00EF07D7">
        <w:rPr>
          <w:rFonts w:ascii="Sylfaen" w:hAnsi="Sylfaen" w:cs="Sylfaen"/>
        </w:rPr>
        <w:t>ბიუჯეტი</w:t>
      </w:r>
      <w:r w:rsidRPr="00C50CA0">
        <w:rPr>
          <w:rFonts w:ascii="Sylfaen" w:hAnsi="Sylfaen" w:cs="Sylfaen"/>
        </w:rPr>
        <w:t>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</w:t>
      </w:r>
      <w:r w:rsidR="00987794" w:rsidRPr="00020872">
        <w:rPr>
          <w:rFonts w:ascii="Sylfaen" w:hAnsi="Sylfaen" w:cs="Sylfaen"/>
          <w:lang w:val="ka-GE"/>
        </w:rPr>
        <w:t>675</w:t>
      </w:r>
      <w:r w:rsidRPr="00020872">
        <w:rPr>
          <w:rFonts w:ascii="Sylfaen" w:hAnsi="Sylfaen" w:cs="Sylfaen"/>
        </w:rPr>
        <w:t xml:space="preserve"> 000.0</w:t>
      </w:r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987794">
        <w:rPr>
          <w:rFonts w:ascii="Sylfaen" w:hAnsi="Sylfaen" w:cs="Sylfaen"/>
        </w:rPr>
        <w:t>3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="00EF07D7">
        <w:rPr>
          <w:rFonts w:ascii="Sylfaen" w:hAnsi="Sylfaen" w:cs="Sylfaen"/>
        </w:rPr>
        <w:t>კანონ</w:t>
      </w:r>
      <w:r w:rsidRPr="008739E5">
        <w:rPr>
          <w:rFonts w:ascii="Sylfaen" w:hAnsi="Sylfaen" w:cs="Sylfaen"/>
        </w:rPr>
        <w:t>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987794">
        <w:rPr>
          <w:rFonts w:ascii="Sylfaen" w:hAnsi="Sylfaen"/>
          <w:b/>
          <w:lang w:val="ka-GE"/>
        </w:rPr>
        <w:t>3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BB0398" w:rsidRPr="00EF07D7" w:rsidRDefault="00987794" w:rsidP="00987794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</w:t>
      </w:r>
      <w:r w:rsidR="00BB0398" w:rsidRPr="00EF07D7">
        <w:rPr>
          <w:rFonts w:ascii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3E5685" w:rsidRPr="003E5685" w:rsidTr="00247AAE">
        <w:trPr>
          <w:trHeight w:val="195"/>
          <w:tblHeader/>
        </w:trPr>
        <w:tc>
          <w:tcPr>
            <w:tcW w:w="69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3119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საპროგნოზო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ნაშთი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3E5685" w:rsidRPr="003E5685" w:rsidTr="00247AAE">
        <w:trPr>
          <w:trHeight w:val="103"/>
        </w:trPr>
        <w:tc>
          <w:tcPr>
            <w:tcW w:w="694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31.12.2023</w:t>
            </w:r>
          </w:p>
        </w:tc>
      </w:tr>
      <w:tr w:rsidR="003E5685" w:rsidRPr="003E5685" w:rsidTr="00247AAE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სულ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საგარეო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22,084,808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მრავალმხრივი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16,382,318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5,886,135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552,044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651,913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2,703,078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375,326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5,540,162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106,081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(IMF)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521,179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40,429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(NEFCO)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5,970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ორმხრივი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კრედიტორებისაგან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4,345,183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სომხეთი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5,328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6,040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ავსტრია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32,845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2,110,310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1,660,402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4,406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იაპონია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382,245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ყაზახეთი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6,570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60,066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სამეფო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129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რუსეთი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41,286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11,761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572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ამერიკის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შეერთებული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შტატები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23,222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სხვა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1,354,400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1,354,400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8E4BC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სახელმწიფოს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გარანტიით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აღებული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8E4BC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2,907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2,907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საშინაო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8,453,800</w:t>
            </w:r>
          </w:p>
        </w:tc>
      </w:tr>
      <w:tr w:rsidR="003E5685" w:rsidRPr="003E5685" w:rsidTr="00247AAE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80,846</w:t>
            </w:r>
          </w:p>
        </w:tc>
      </w:tr>
      <w:tr w:rsidR="003E5685" w:rsidRPr="003E5685" w:rsidTr="00247AAE">
        <w:trPr>
          <w:trHeight w:val="3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ვადის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ღია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ბაზრის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152,000.0</w:t>
            </w:r>
          </w:p>
        </w:tc>
      </w:tr>
      <w:tr w:rsidR="003E5685" w:rsidRPr="003E5685" w:rsidTr="00247AAE">
        <w:trPr>
          <w:trHeight w:val="3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481,642.0</w:t>
            </w:r>
          </w:p>
        </w:tc>
      </w:tr>
      <w:tr w:rsidR="003E5685" w:rsidRPr="003E5685" w:rsidTr="00247AAE">
        <w:trPr>
          <w:trHeight w:val="33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7,704,311.9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ind w:firstLineChars="200" w:firstLine="32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საბიუჯეტო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ორგანიზაციების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სესხის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სახით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არსებული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ვალი</w:t>
            </w:r>
            <w:proofErr w:type="spellEnd"/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E56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35,000.0</w:t>
            </w:r>
          </w:p>
        </w:tc>
      </w:tr>
      <w:tr w:rsidR="003E5685" w:rsidRPr="003E5685" w:rsidTr="00247AAE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მთავრობის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ვალის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ზღვრული</w:t>
            </w:r>
            <w:proofErr w:type="spellEnd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E568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3E5685" w:rsidRPr="003E5685" w:rsidRDefault="003E5685" w:rsidP="003E56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E56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30,538,608</w:t>
            </w:r>
          </w:p>
        </w:tc>
      </w:tr>
    </w:tbl>
    <w:p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FB7087" w:rsidRPr="00B73E97" w:rsidRDefault="003E5685" w:rsidP="00EF07D7">
      <w:pPr>
        <w:spacing w:after="0" w:line="240" w:lineRule="auto"/>
        <w:ind w:right="243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970983">
        <w:rPr>
          <w:rFonts w:ascii="Sylfaen" w:hAnsi="Sylfaen"/>
          <w:i/>
          <w:sz w:val="16"/>
          <w:szCs w:val="16"/>
          <w:lang w:val="ka-GE"/>
        </w:rPr>
        <w:t xml:space="preserve">ცხრილში გამოყენებულია 2022 წლის </w:t>
      </w:r>
      <w:r w:rsidRPr="00BF716D">
        <w:rPr>
          <w:rFonts w:ascii="Sylfaen" w:hAnsi="Sylfaen"/>
          <w:i/>
          <w:sz w:val="16"/>
          <w:szCs w:val="16"/>
          <w:lang w:val="ka-GE"/>
        </w:rPr>
        <w:t xml:space="preserve">27 </w:t>
      </w:r>
      <w:r w:rsidRPr="00970983">
        <w:rPr>
          <w:rFonts w:ascii="Sylfaen" w:hAnsi="Sylfaen"/>
          <w:i/>
          <w:sz w:val="16"/>
          <w:szCs w:val="16"/>
          <w:lang w:val="ka-GE"/>
        </w:rPr>
        <w:t>ნოემბრის გაცვლითი კურსი:  1 EUR = 2.8220  GEL; 1 SDR = 3.5454 GEL; 100 JPY = 1.9457  GEL; 1 KWD = 8.8091  GEL; 1 USD = 2.7088 GEL</w:t>
      </w:r>
      <w:r w:rsidR="00BA5201" w:rsidRPr="00BA5201">
        <w:rPr>
          <w:rFonts w:ascii="Sylfaen" w:hAnsi="Sylfaen"/>
          <w:sz w:val="16"/>
          <w:szCs w:val="16"/>
          <w:lang w:val="ka-GE"/>
        </w:rPr>
        <w:t>.</w:t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423D2D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FC" w:rsidRDefault="003714FC" w:rsidP="00400BED">
      <w:pPr>
        <w:spacing w:after="0" w:line="240" w:lineRule="auto"/>
      </w:pPr>
      <w:r>
        <w:separator/>
      </w:r>
    </w:p>
  </w:endnote>
  <w:endnote w:type="continuationSeparator" w:id="0">
    <w:p w:rsidR="003714FC" w:rsidRDefault="003714FC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A1B" w:rsidRDefault="00DD1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1A1B" w:rsidRDefault="00DD1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A1B" w:rsidRDefault="00DD1A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A1B" w:rsidRDefault="00DD1A1B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FC" w:rsidRDefault="003714FC" w:rsidP="00400BED">
      <w:pPr>
        <w:spacing w:after="0" w:line="240" w:lineRule="auto"/>
      </w:pPr>
      <w:r>
        <w:separator/>
      </w:r>
    </w:p>
  </w:footnote>
  <w:footnote w:type="continuationSeparator" w:id="0">
    <w:p w:rsidR="003714FC" w:rsidRDefault="003714FC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D45"/>
    <w:multiLevelType w:val="hybridMultilevel"/>
    <w:tmpl w:val="8DECFF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0C68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0872"/>
    <w:rsid w:val="00020B0D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6CE4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1CA"/>
    <w:rsid w:val="000F7FD3"/>
    <w:rsid w:val="00100D6E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0D31"/>
    <w:rsid w:val="00151C5B"/>
    <w:rsid w:val="00153061"/>
    <w:rsid w:val="001536D0"/>
    <w:rsid w:val="00154312"/>
    <w:rsid w:val="00157433"/>
    <w:rsid w:val="00160413"/>
    <w:rsid w:val="001609E6"/>
    <w:rsid w:val="00162FC7"/>
    <w:rsid w:val="00164B20"/>
    <w:rsid w:val="0016733A"/>
    <w:rsid w:val="001673DC"/>
    <w:rsid w:val="00173BAA"/>
    <w:rsid w:val="0017448F"/>
    <w:rsid w:val="001757D3"/>
    <w:rsid w:val="001763B0"/>
    <w:rsid w:val="001769BA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09B8"/>
    <w:rsid w:val="001B17E2"/>
    <w:rsid w:val="001B2633"/>
    <w:rsid w:val="001B36DC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580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AB6"/>
    <w:rsid w:val="00225341"/>
    <w:rsid w:val="00233B5E"/>
    <w:rsid w:val="0023438F"/>
    <w:rsid w:val="00236007"/>
    <w:rsid w:val="0024105B"/>
    <w:rsid w:val="0024488E"/>
    <w:rsid w:val="00247AA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14FC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2893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AA5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685"/>
    <w:rsid w:val="003E5A7C"/>
    <w:rsid w:val="003F0548"/>
    <w:rsid w:val="003F208F"/>
    <w:rsid w:val="003F27BF"/>
    <w:rsid w:val="003F2860"/>
    <w:rsid w:val="003F2A82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0AD8"/>
    <w:rsid w:val="00421440"/>
    <w:rsid w:val="00421638"/>
    <w:rsid w:val="00423D2D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749C"/>
    <w:rsid w:val="00497DE1"/>
    <w:rsid w:val="004A231E"/>
    <w:rsid w:val="004A3196"/>
    <w:rsid w:val="004A3DB0"/>
    <w:rsid w:val="004A6F11"/>
    <w:rsid w:val="004B0D09"/>
    <w:rsid w:val="004B1263"/>
    <w:rsid w:val="004B29BC"/>
    <w:rsid w:val="004B46E8"/>
    <w:rsid w:val="004B6F90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4A4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0321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E6F5C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4DE0"/>
    <w:rsid w:val="00885C0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46DCB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5FE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8C4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73E"/>
    <w:rsid w:val="009F7E90"/>
    <w:rsid w:val="00A00FD9"/>
    <w:rsid w:val="00A0269B"/>
    <w:rsid w:val="00A04E5E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B0398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26A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39A4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637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146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544F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1A1B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222A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95D4A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7948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  <w:style w:type="paragraph" w:customStyle="1" w:styleId="Normal26">
    <w:name w:val="Normal_26"/>
    <w:qFormat/>
    <w:rsid w:val="00423D2D"/>
    <w:pPr>
      <w:spacing w:after="18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40E7-4E48-843C-C25F7B19FEE3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40E7-4E48-843C-C25F7B19FEE3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40E7-4E48-843C-C25F7B19FEE3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40E7-4E48-843C-C25F7B19FEE3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40E7-4E48-843C-C25F7B19FEE3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40E7-4E48-843C-C25F7B19FEE3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26%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E7-4E48-843C-C25F7B19FEE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E7-4E48-843C-C25F7B19FEE3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0E7-4E48-843C-C25F7B19FEE3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0E7-4E48-843C-C25F7B19FEE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E7-4E48-843C-C25F7B19FEE3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40E7-4E48-843C-C25F7B19FE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0E7-4E48-843C-C25F7B19FEE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7866045203193734"/>
          <c:h val="0.77209122508335104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41939015623"/>
                  <c:y val="1.841310365805503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0EAEC30-4977-4293-B199-C1751B452A0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19%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891418563922941"/>
                      <c:h val="0.211981981981981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2FF521B-3091-4C18-91D1-F6308DE25B3D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2916-9652-4ABF-9868-1ABDB4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2006</Words>
  <Characters>17175</Characters>
  <Application>Microsoft Office Word</Application>
  <DocSecurity>0</DocSecurity>
  <Lines>264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Irakli Katcharava</cp:lastModifiedBy>
  <cp:revision>4</cp:revision>
  <cp:lastPrinted>2022-09-29T21:30:00Z</cp:lastPrinted>
  <dcterms:created xsi:type="dcterms:W3CDTF">2022-11-29T17:28:00Z</dcterms:created>
  <dcterms:modified xsi:type="dcterms:W3CDTF">2022-11-29T17:56:00Z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e3f3c365ae495e87c906a44f7f76b0e5efbcaa23fcc476e818a8a21b92c03e1c</vt:lpwstr>
  </property>
</Properties>
</file>